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0FC" w:rsidRDefault="00D701F2" w:rsidP="005730FC">
      <w:pPr>
        <w:spacing w:after="0" w:line="240" w:lineRule="auto"/>
        <w:jc w:val="center"/>
        <w:rPr>
          <w:rFonts w:ascii="Times New Roman" w:hAnsi="Times New Roman" w:cs="Times New Roman"/>
          <w:sz w:val="24"/>
          <w:szCs w:val="24"/>
        </w:rPr>
      </w:pPr>
      <w:r w:rsidRPr="00972FE2">
        <w:rPr>
          <w:rFonts w:ascii="Times New Roman" w:hAnsi="Times New Roman" w:cs="Times New Roman"/>
          <w:sz w:val="24"/>
          <w:szCs w:val="24"/>
        </w:rPr>
        <w:t>Муниципальное бюджетное учреждение</w:t>
      </w:r>
      <w:r w:rsidR="00D10B0D">
        <w:rPr>
          <w:rFonts w:ascii="Times New Roman" w:hAnsi="Times New Roman" w:cs="Times New Roman"/>
          <w:sz w:val="24"/>
          <w:szCs w:val="24"/>
        </w:rPr>
        <w:t xml:space="preserve"> </w:t>
      </w:r>
      <w:r w:rsidRPr="00972FE2">
        <w:rPr>
          <w:rFonts w:ascii="Times New Roman" w:hAnsi="Times New Roman" w:cs="Times New Roman"/>
          <w:sz w:val="24"/>
          <w:szCs w:val="24"/>
        </w:rPr>
        <w:t>дополнительного образования</w:t>
      </w:r>
    </w:p>
    <w:p w:rsidR="005730FC" w:rsidRDefault="00D701F2" w:rsidP="005730FC">
      <w:pPr>
        <w:spacing w:after="0" w:line="240" w:lineRule="auto"/>
        <w:jc w:val="center"/>
        <w:rPr>
          <w:rFonts w:ascii="Times New Roman" w:hAnsi="Times New Roman" w:cs="Times New Roman"/>
          <w:sz w:val="24"/>
          <w:szCs w:val="24"/>
        </w:rPr>
      </w:pPr>
      <w:r w:rsidRPr="00972FE2">
        <w:rPr>
          <w:rFonts w:ascii="Times New Roman" w:hAnsi="Times New Roman" w:cs="Times New Roman"/>
          <w:sz w:val="24"/>
          <w:szCs w:val="24"/>
        </w:rPr>
        <w:t>«Детская школа искусств»</w:t>
      </w:r>
    </w:p>
    <w:p w:rsidR="00D701F2" w:rsidRDefault="00D701F2" w:rsidP="005730FC">
      <w:pPr>
        <w:spacing w:after="0" w:line="240" w:lineRule="auto"/>
        <w:jc w:val="center"/>
        <w:rPr>
          <w:rFonts w:cs="Times New Roman"/>
        </w:rPr>
      </w:pPr>
      <w:r>
        <w:rPr>
          <w:rFonts w:ascii="Times New Roman" w:hAnsi="Times New Roman" w:cs="Times New Roman"/>
          <w:sz w:val="24"/>
          <w:szCs w:val="24"/>
        </w:rPr>
        <w:t>Кандалакшского муниципального округа</w:t>
      </w:r>
    </w:p>
    <w:p w:rsidR="00D701F2" w:rsidRDefault="00D701F2" w:rsidP="00D701F2">
      <w:pPr>
        <w:rPr>
          <w:rFonts w:cs="Times New Roman"/>
        </w:rPr>
      </w:pPr>
    </w:p>
    <w:p w:rsidR="00D701F2" w:rsidRDefault="00D701F2" w:rsidP="00D701F2">
      <w:pPr>
        <w:rPr>
          <w:rFonts w:cs="Times New Roman"/>
        </w:rPr>
      </w:pPr>
    </w:p>
    <w:p w:rsidR="00D701F2" w:rsidRDefault="00D701F2" w:rsidP="00D701F2">
      <w:pPr>
        <w:rPr>
          <w:rFonts w:cs="Times New Roman"/>
          <w:sz w:val="32"/>
          <w:szCs w:val="32"/>
        </w:rPr>
      </w:pPr>
    </w:p>
    <w:p w:rsidR="00D701F2" w:rsidRDefault="00D701F2" w:rsidP="00D701F2">
      <w:pPr>
        <w:jc w:val="center"/>
        <w:rPr>
          <w:rFonts w:cs="Times New Roman"/>
          <w:sz w:val="32"/>
          <w:szCs w:val="32"/>
        </w:rPr>
      </w:pPr>
    </w:p>
    <w:p w:rsidR="00D701F2" w:rsidRPr="003E20D1" w:rsidRDefault="00D701F2" w:rsidP="00D701F2">
      <w:pPr>
        <w:jc w:val="center"/>
        <w:rPr>
          <w:rFonts w:cs="Times New Roman"/>
          <w:color w:val="000000"/>
          <w:sz w:val="32"/>
          <w:szCs w:val="32"/>
        </w:rPr>
      </w:pPr>
    </w:p>
    <w:p w:rsidR="00D701F2" w:rsidRPr="00D701F2" w:rsidRDefault="00D701F2" w:rsidP="00D701F2">
      <w:pPr>
        <w:jc w:val="center"/>
        <w:rPr>
          <w:rFonts w:ascii="Times New Roman" w:hAnsi="Times New Roman" w:cs="Times New Roman"/>
          <w:b/>
          <w:color w:val="000000"/>
          <w:sz w:val="32"/>
          <w:szCs w:val="32"/>
        </w:rPr>
      </w:pPr>
      <w:r w:rsidRPr="00D701F2">
        <w:rPr>
          <w:rFonts w:ascii="Times New Roman" w:hAnsi="Times New Roman" w:cs="Times New Roman"/>
          <w:b/>
          <w:color w:val="000000"/>
          <w:sz w:val="32"/>
          <w:szCs w:val="32"/>
        </w:rPr>
        <w:t>Методический доклад: «Навыки разбора и чтения нот».</w:t>
      </w:r>
    </w:p>
    <w:p w:rsidR="00D701F2" w:rsidRPr="00940D8A" w:rsidRDefault="00D701F2" w:rsidP="00D701F2">
      <w:pPr>
        <w:jc w:val="center"/>
        <w:rPr>
          <w:rFonts w:ascii="Times New Roman" w:hAnsi="Times New Roman" w:cs="Times New Roman"/>
          <w:sz w:val="32"/>
          <w:szCs w:val="32"/>
        </w:rPr>
      </w:pPr>
    </w:p>
    <w:p w:rsidR="00D701F2" w:rsidRDefault="00D701F2" w:rsidP="00D701F2">
      <w:pPr>
        <w:jc w:val="right"/>
        <w:rPr>
          <w:rFonts w:cs="Times New Roman"/>
        </w:rPr>
      </w:pPr>
    </w:p>
    <w:p w:rsidR="00D701F2" w:rsidRDefault="00D701F2" w:rsidP="00D701F2">
      <w:pPr>
        <w:jc w:val="right"/>
        <w:rPr>
          <w:rFonts w:cs="Times New Roman"/>
        </w:rPr>
      </w:pPr>
    </w:p>
    <w:p w:rsidR="00D701F2" w:rsidRDefault="00D701F2" w:rsidP="00D701F2">
      <w:pPr>
        <w:jc w:val="right"/>
        <w:rPr>
          <w:rFonts w:cs="Times New Roman"/>
        </w:rPr>
      </w:pPr>
    </w:p>
    <w:p w:rsidR="00D701F2" w:rsidRDefault="00D701F2" w:rsidP="00D701F2">
      <w:pPr>
        <w:jc w:val="right"/>
        <w:rPr>
          <w:rFonts w:cs="Times New Roman"/>
        </w:rPr>
      </w:pPr>
    </w:p>
    <w:p w:rsidR="00D701F2" w:rsidRDefault="00D701F2" w:rsidP="00D701F2">
      <w:pPr>
        <w:jc w:val="right"/>
        <w:rPr>
          <w:rFonts w:cs="Times New Roman"/>
        </w:rPr>
      </w:pPr>
    </w:p>
    <w:p w:rsidR="00D701F2" w:rsidRDefault="00D701F2" w:rsidP="00D701F2">
      <w:pPr>
        <w:jc w:val="right"/>
        <w:rPr>
          <w:rFonts w:ascii="Times New Roman" w:hAnsi="Times New Roman" w:cs="Times New Roman"/>
          <w:sz w:val="28"/>
          <w:szCs w:val="28"/>
        </w:rPr>
      </w:pPr>
      <w:r w:rsidRPr="00940D8A">
        <w:rPr>
          <w:rFonts w:ascii="Times New Roman" w:hAnsi="Times New Roman" w:cs="Times New Roman"/>
          <w:sz w:val="28"/>
          <w:szCs w:val="28"/>
        </w:rPr>
        <w:t>Преподавател</w:t>
      </w:r>
      <w:r>
        <w:rPr>
          <w:rFonts w:ascii="Times New Roman" w:hAnsi="Times New Roman" w:cs="Times New Roman"/>
          <w:sz w:val="28"/>
          <w:szCs w:val="28"/>
        </w:rPr>
        <w:t>ь</w:t>
      </w:r>
      <w:r w:rsidRPr="00940D8A">
        <w:rPr>
          <w:rFonts w:ascii="Times New Roman" w:hAnsi="Times New Roman" w:cs="Times New Roman"/>
          <w:sz w:val="28"/>
          <w:szCs w:val="28"/>
        </w:rPr>
        <w:t xml:space="preserve">: </w:t>
      </w:r>
      <w:r>
        <w:rPr>
          <w:rFonts w:ascii="Times New Roman" w:hAnsi="Times New Roman" w:cs="Times New Roman"/>
          <w:sz w:val="28"/>
          <w:szCs w:val="28"/>
        </w:rPr>
        <w:t>Емельянова Наталья Ивановна</w:t>
      </w:r>
    </w:p>
    <w:p w:rsidR="00D701F2" w:rsidRDefault="00D701F2" w:rsidP="00D701F2">
      <w:pPr>
        <w:jc w:val="center"/>
        <w:rPr>
          <w:rFonts w:ascii="Times New Roman" w:hAnsi="Times New Roman" w:cs="Times New Roman"/>
          <w:sz w:val="28"/>
          <w:szCs w:val="28"/>
        </w:rPr>
      </w:pPr>
    </w:p>
    <w:p w:rsidR="00D701F2" w:rsidRDefault="00D701F2" w:rsidP="00D701F2">
      <w:pPr>
        <w:jc w:val="center"/>
        <w:rPr>
          <w:rFonts w:ascii="Times New Roman" w:hAnsi="Times New Roman" w:cs="Times New Roman"/>
          <w:sz w:val="28"/>
          <w:szCs w:val="28"/>
        </w:rPr>
      </w:pPr>
    </w:p>
    <w:p w:rsidR="00D701F2" w:rsidRDefault="00D701F2" w:rsidP="00D701F2">
      <w:pPr>
        <w:jc w:val="center"/>
        <w:rPr>
          <w:rFonts w:ascii="Times New Roman" w:hAnsi="Times New Roman" w:cs="Times New Roman"/>
          <w:sz w:val="28"/>
          <w:szCs w:val="28"/>
        </w:rPr>
      </w:pPr>
    </w:p>
    <w:p w:rsidR="00D701F2" w:rsidRDefault="00D701F2" w:rsidP="00D701F2">
      <w:pPr>
        <w:jc w:val="center"/>
        <w:rPr>
          <w:rFonts w:ascii="Times New Roman" w:hAnsi="Times New Roman" w:cs="Times New Roman"/>
          <w:sz w:val="28"/>
          <w:szCs w:val="28"/>
        </w:rPr>
      </w:pPr>
    </w:p>
    <w:p w:rsidR="005730FC" w:rsidRDefault="005730FC" w:rsidP="00D701F2">
      <w:pPr>
        <w:jc w:val="center"/>
        <w:rPr>
          <w:rFonts w:ascii="Times New Roman" w:hAnsi="Times New Roman" w:cs="Times New Roman"/>
          <w:sz w:val="28"/>
          <w:szCs w:val="28"/>
        </w:rPr>
      </w:pPr>
    </w:p>
    <w:p w:rsidR="005730FC" w:rsidRDefault="005730FC" w:rsidP="00D701F2">
      <w:pPr>
        <w:jc w:val="center"/>
        <w:rPr>
          <w:rFonts w:ascii="Times New Roman" w:hAnsi="Times New Roman" w:cs="Times New Roman"/>
          <w:sz w:val="28"/>
          <w:szCs w:val="28"/>
        </w:rPr>
      </w:pPr>
    </w:p>
    <w:p w:rsidR="005730FC" w:rsidRDefault="005730FC" w:rsidP="00D701F2">
      <w:pPr>
        <w:jc w:val="center"/>
        <w:rPr>
          <w:rFonts w:ascii="Times New Roman" w:hAnsi="Times New Roman" w:cs="Times New Roman"/>
          <w:sz w:val="28"/>
          <w:szCs w:val="28"/>
        </w:rPr>
      </w:pPr>
    </w:p>
    <w:p w:rsidR="00D701F2" w:rsidRDefault="00D701F2" w:rsidP="00D701F2">
      <w:pPr>
        <w:jc w:val="center"/>
        <w:rPr>
          <w:rFonts w:ascii="Times New Roman" w:hAnsi="Times New Roman" w:cs="Times New Roman"/>
          <w:sz w:val="28"/>
          <w:szCs w:val="28"/>
        </w:rPr>
      </w:pPr>
    </w:p>
    <w:p w:rsidR="00D701F2" w:rsidRDefault="00D701F2" w:rsidP="00D701F2">
      <w:pPr>
        <w:spacing w:after="0"/>
        <w:jc w:val="center"/>
        <w:rPr>
          <w:rFonts w:ascii="Times New Roman" w:hAnsi="Times New Roman" w:cs="Times New Roman"/>
          <w:sz w:val="28"/>
          <w:szCs w:val="28"/>
        </w:rPr>
      </w:pPr>
      <w:r>
        <w:rPr>
          <w:rFonts w:ascii="Times New Roman" w:hAnsi="Times New Roman" w:cs="Times New Roman"/>
          <w:sz w:val="28"/>
          <w:szCs w:val="28"/>
        </w:rPr>
        <w:t xml:space="preserve">Кандалакша </w:t>
      </w:r>
    </w:p>
    <w:p w:rsidR="00D701F2" w:rsidRDefault="00D701F2" w:rsidP="00D701F2">
      <w:pPr>
        <w:jc w:val="center"/>
        <w:rPr>
          <w:rFonts w:ascii="Times New Roman" w:hAnsi="Times New Roman" w:cs="Times New Roman"/>
          <w:sz w:val="28"/>
          <w:szCs w:val="28"/>
        </w:rPr>
      </w:pPr>
      <w:r>
        <w:rPr>
          <w:rFonts w:ascii="Times New Roman" w:hAnsi="Times New Roman" w:cs="Times New Roman"/>
          <w:sz w:val="28"/>
          <w:szCs w:val="28"/>
        </w:rPr>
        <w:t>2026 год</w:t>
      </w:r>
    </w:p>
    <w:p w:rsidR="00630B30" w:rsidRDefault="00630B30"/>
    <w:p w:rsidR="00D701F2" w:rsidRDefault="00D701F2"/>
    <w:p w:rsidR="00D701F2" w:rsidRPr="00D946E2" w:rsidRDefault="00D701F2" w:rsidP="00D701F2">
      <w:pPr>
        <w:spacing w:after="0"/>
        <w:jc w:val="right"/>
        <w:rPr>
          <w:rFonts w:ascii="Times New Roman" w:hAnsi="Times New Roman" w:cs="Times New Roman"/>
          <w:sz w:val="24"/>
          <w:szCs w:val="24"/>
        </w:rPr>
      </w:pPr>
      <w:r w:rsidRPr="00D946E2">
        <w:rPr>
          <w:rFonts w:ascii="Times New Roman" w:hAnsi="Times New Roman" w:cs="Times New Roman"/>
          <w:sz w:val="24"/>
          <w:szCs w:val="24"/>
        </w:rPr>
        <w:lastRenderedPageBreak/>
        <w:t>«Работать надо так,</w:t>
      </w:r>
    </w:p>
    <w:p w:rsidR="00D701F2" w:rsidRDefault="00D701F2" w:rsidP="00D701F2">
      <w:pPr>
        <w:spacing w:after="0"/>
        <w:jc w:val="right"/>
        <w:rPr>
          <w:rFonts w:ascii="Times New Roman" w:hAnsi="Times New Roman" w:cs="Times New Roman"/>
          <w:sz w:val="24"/>
          <w:szCs w:val="24"/>
        </w:rPr>
      </w:pPr>
      <w:r w:rsidRPr="00D946E2">
        <w:rPr>
          <w:rFonts w:ascii="Times New Roman" w:hAnsi="Times New Roman" w:cs="Times New Roman"/>
          <w:sz w:val="24"/>
          <w:szCs w:val="24"/>
        </w:rPr>
        <w:t xml:space="preserve"> чтобы не было необходимости </w:t>
      </w:r>
    </w:p>
    <w:p w:rsidR="00D701F2" w:rsidRPr="00D946E2" w:rsidRDefault="00D701F2" w:rsidP="00D701F2">
      <w:pPr>
        <w:spacing w:after="0"/>
        <w:jc w:val="right"/>
        <w:rPr>
          <w:rFonts w:ascii="Times New Roman" w:hAnsi="Times New Roman" w:cs="Times New Roman"/>
          <w:sz w:val="24"/>
          <w:szCs w:val="24"/>
        </w:rPr>
      </w:pPr>
      <w:r w:rsidRPr="00D946E2">
        <w:rPr>
          <w:rFonts w:ascii="Times New Roman" w:hAnsi="Times New Roman" w:cs="Times New Roman"/>
          <w:sz w:val="24"/>
          <w:szCs w:val="24"/>
        </w:rPr>
        <w:t>исправлять уже сделанное</w:t>
      </w:r>
    </w:p>
    <w:p w:rsidR="00D701F2" w:rsidRPr="00D946E2" w:rsidRDefault="00D701F2" w:rsidP="00D701F2">
      <w:pPr>
        <w:spacing w:after="0"/>
        <w:jc w:val="right"/>
        <w:rPr>
          <w:rFonts w:ascii="Times New Roman" w:hAnsi="Times New Roman" w:cs="Times New Roman"/>
          <w:sz w:val="24"/>
          <w:szCs w:val="24"/>
        </w:rPr>
      </w:pPr>
      <w:r w:rsidRPr="00D946E2">
        <w:rPr>
          <w:rFonts w:ascii="Times New Roman" w:hAnsi="Times New Roman" w:cs="Times New Roman"/>
          <w:sz w:val="24"/>
          <w:szCs w:val="24"/>
        </w:rPr>
        <w:t xml:space="preserve"> и бороться с неправильными привычками»</w:t>
      </w:r>
    </w:p>
    <w:p w:rsidR="00D701F2" w:rsidRPr="00D946E2" w:rsidRDefault="00D701F2" w:rsidP="00D701F2">
      <w:pPr>
        <w:jc w:val="right"/>
        <w:rPr>
          <w:rFonts w:ascii="Times New Roman" w:hAnsi="Times New Roman" w:cs="Times New Roman"/>
          <w:sz w:val="24"/>
          <w:szCs w:val="24"/>
        </w:rPr>
      </w:pPr>
      <w:r w:rsidRPr="00D946E2">
        <w:rPr>
          <w:rFonts w:ascii="Times New Roman" w:hAnsi="Times New Roman" w:cs="Times New Roman"/>
          <w:sz w:val="24"/>
          <w:szCs w:val="24"/>
        </w:rPr>
        <w:t>(А. Гольденвейзер)</w:t>
      </w:r>
    </w:p>
    <w:p w:rsidR="00D701F2" w:rsidRPr="00D946E2" w:rsidRDefault="00D701F2" w:rsidP="00D701F2">
      <w:pPr>
        <w:spacing w:after="0"/>
        <w:jc w:val="right"/>
        <w:rPr>
          <w:rFonts w:ascii="Times New Roman" w:hAnsi="Times New Roman" w:cs="Times New Roman"/>
          <w:sz w:val="24"/>
          <w:szCs w:val="24"/>
        </w:rPr>
      </w:pPr>
      <w:r w:rsidRPr="00D946E2">
        <w:rPr>
          <w:rFonts w:ascii="Times New Roman" w:hAnsi="Times New Roman" w:cs="Times New Roman"/>
          <w:sz w:val="24"/>
          <w:szCs w:val="24"/>
        </w:rPr>
        <w:t xml:space="preserve">«Уже при первом беглом знакомстве с </w:t>
      </w:r>
    </w:p>
    <w:p w:rsidR="00D701F2" w:rsidRPr="00D946E2" w:rsidRDefault="00D701F2" w:rsidP="00D701F2">
      <w:pPr>
        <w:spacing w:after="0"/>
        <w:jc w:val="right"/>
        <w:rPr>
          <w:rFonts w:ascii="Times New Roman" w:hAnsi="Times New Roman" w:cs="Times New Roman"/>
          <w:sz w:val="24"/>
          <w:szCs w:val="24"/>
        </w:rPr>
      </w:pPr>
      <w:r w:rsidRPr="00D946E2">
        <w:rPr>
          <w:rFonts w:ascii="Times New Roman" w:hAnsi="Times New Roman" w:cs="Times New Roman"/>
          <w:sz w:val="24"/>
          <w:szCs w:val="24"/>
        </w:rPr>
        <w:t xml:space="preserve">сочинением нужно стремиться к </w:t>
      </w:r>
    </w:p>
    <w:p w:rsidR="00D701F2" w:rsidRPr="00D946E2" w:rsidRDefault="00D701F2" w:rsidP="00D701F2">
      <w:pPr>
        <w:spacing w:after="0"/>
        <w:jc w:val="right"/>
        <w:rPr>
          <w:rFonts w:ascii="Times New Roman" w:hAnsi="Times New Roman" w:cs="Times New Roman"/>
          <w:sz w:val="24"/>
          <w:szCs w:val="24"/>
        </w:rPr>
      </w:pPr>
      <w:r w:rsidRPr="00D946E2">
        <w:rPr>
          <w:rFonts w:ascii="Times New Roman" w:hAnsi="Times New Roman" w:cs="Times New Roman"/>
          <w:sz w:val="24"/>
          <w:szCs w:val="24"/>
        </w:rPr>
        <w:t xml:space="preserve">наилучшему и наиболее точному </w:t>
      </w:r>
    </w:p>
    <w:p w:rsidR="00D701F2" w:rsidRPr="00D946E2" w:rsidRDefault="00D701F2" w:rsidP="00D701F2">
      <w:pPr>
        <w:spacing w:after="0"/>
        <w:jc w:val="right"/>
        <w:rPr>
          <w:rFonts w:ascii="Times New Roman" w:hAnsi="Times New Roman" w:cs="Times New Roman"/>
          <w:sz w:val="24"/>
          <w:szCs w:val="24"/>
        </w:rPr>
      </w:pPr>
      <w:r w:rsidRPr="00D946E2">
        <w:rPr>
          <w:rFonts w:ascii="Times New Roman" w:hAnsi="Times New Roman" w:cs="Times New Roman"/>
          <w:sz w:val="24"/>
          <w:szCs w:val="24"/>
        </w:rPr>
        <w:t>овладению ритмикой, звучностью»</w:t>
      </w:r>
    </w:p>
    <w:p w:rsidR="00D701F2" w:rsidRPr="00D946E2" w:rsidRDefault="00D10B0D" w:rsidP="00D10B0D">
      <w:pPr>
        <w:tabs>
          <w:tab w:val="center" w:pos="4677"/>
          <w:tab w:val="right" w:pos="9355"/>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D701F2" w:rsidRPr="00D946E2">
        <w:rPr>
          <w:rFonts w:ascii="Times New Roman" w:hAnsi="Times New Roman" w:cs="Times New Roman"/>
          <w:sz w:val="24"/>
          <w:szCs w:val="24"/>
        </w:rPr>
        <w:t>(С. Фейнберг)</w:t>
      </w:r>
    </w:p>
    <w:p w:rsidR="00D701F2" w:rsidRPr="00D946E2" w:rsidRDefault="00D701F2" w:rsidP="00D10B0D">
      <w:pPr>
        <w:spacing w:after="0"/>
        <w:jc w:val="right"/>
        <w:rPr>
          <w:rFonts w:ascii="Times New Roman" w:hAnsi="Times New Roman" w:cs="Times New Roman"/>
          <w:sz w:val="24"/>
          <w:szCs w:val="24"/>
        </w:rPr>
      </w:pPr>
      <w:r w:rsidRPr="00D946E2">
        <w:rPr>
          <w:rFonts w:ascii="Times New Roman" w:hAnsi="Times New Roman" w:cs="Times New Roman"/>
          <w:sz w:val="24"/>
          <w:szCs w:val="24"/>
        </w:rPr>
        <w:t>«В первую очередь добивайся предельной</w:t>
      </w:r>
    </w:p>
    <w:p w:rsidR="00D701F2" w:rsidRPr="00D946E2" w:rsidRDefault="00D701F2" w:rsidP="00D10B0D">
      <w:pPr>
        <w:spacing w:after="0"/>
        <w:jc w:val="right"/>
        <w:rPr>
          <w:rFonts w:ascii="Times New Roman" w:hAnsi="Times New Roman" w:cs="Times New Roman"/>
          <w:sz w:val="24"/>
          <w:szCs w:val="24"/>
        </w:rPr>
      </w:pPr>
      <w:r w:rsidRPr="00D946E2">
        <w:rPr>
          <w:rFonts w:ascii="Times New Roman" w:hAnsi="Times New Roman" w:cs="Times New Roman"/>
          <w:sz w:val="24"/>
          <w:szCs w:val="24"/>
        </w:rPr>
        <w:t xml:space="preserve"> осмысленности»</w:t>
      </w:r>
    </w:p>
    <w:p w:rsidR="00D701F2" w:rsidRDefault="00D701F2" w:rsidP="00D10B0D">
      <w:pPr>
        <w:jc w:val="right"/>
      </w:pPr>
      <w:r w:rsidRPr="00D946E2">
        <w:rPr>
          <w:rFonts w:ascii="Times New Roman" w:hAnsi="Times New Roman" w:cs="Times New Roman"/>
          <w:sz w:val="24"/>
          <w:szCs w:val="24"/>
        </w:rPr>
        <w:t>(С. Савжинский)</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Рассматривая задачу, как наполнить смыслом процесс работы и развить длительную концентрацию внимания ребёнка, следует остановиться на одном из главных условий  одинаково без исключения школ, систем и методов обучения музыки; это условие как бы перебрасывает мост между музыкальным развитием ученика и практикой работы за инструментом, оно помогает донести яркое ощущение музыкального образа от точного этапа исполнения, не растрачивая в длинной  дороге разучивания силы, настроения, интереса, без которых крайне затруднительно приобретение любых музыкально-пианистических навыков.</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Это условие заключается в том, чтобы научить разбирать музыку и научить разучиванию. Ведь что такое разбор? Это первое знакомство, первое впечатление, первое ощущение. Очень важно, чтобы оно пробуждало интерес, а не гасило его. Можно сказать, что в правильном разборе заключено не менее половины всей работы над произведением, причём половины очень важной для всего остального процесса разучивания. Точно так же в неправильном разборе возникают те трудности, в борьбе с которыми в дальнейшем бесполезно растрачиваются время и силы ученика и педагога. На таких уроках нередко создаётся обманчивая видимость активной и полезной работы.</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 xml:space="preserve">Очень большое значение имеет развитие навыков разбора. Недостаточное внимание к разбору и преждевременная самостоятельность ученика в этой области в большинстве случаев замедляют дальнейшую работу.  Уроки заполняются так называемой «чёрновой» работой, задание на дом обычно не выходит за пределы исправления одних и тех же элементарных ошибок. В результате атмосфера на уроке становится напряжённой и взаимно недоброжелательной, контакт педагога с учеником </w:t>
      </w:r>
      <w:r w:rsidRPr="00D946E2">
        <w:rPr>
          <w:rFonts w:ascii="Times New Roman" w:hAnsi="Times New Roman" w:cs="Times New Roman"/>
          <w:sz w:val="28"/>
          <w:szCs w:val="28"/>
        </w:rPr>
        <w:lastRenderedPageBreak/>
        <w:t>нарушится, интерес к музыкальным занятиям снижается. Вот почему мы должны учить разбору с первых шагов, занимаясь этим систематически в классе на уроке. В качестве материала следует выбирать пьесы, доступные ученику по трудности, разнообразные по характеру музыкальных и технических задач, ясные по строению музыкальной ткани. Главная цель при этом заключается в том, чтобы как можно быстрее перейти от разменного процесса складывания отдельных звуков к слитному процессу исполнения (хотя бы небольшого отрывка музыки).</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Только в условиях связного, и цельного исполнения формируется художественно-музыкальная задача, которая определяет пути дальнейшей работы. Поэтому достижение связного процесса (без остановок и пауз) должно быть целью первого этапа в разучивании произведения, а не заключительного.</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 xml:space="preserve">Очень важна роль мышления и необходимость его развития для успеха в решении поставленных задач. Прежде всего, развивая навыки разбора и разучивания пьес, следует с первых шагов добиваться, чтобы ученик воспринимал нотный текс (а значит и воспроизводил на инструменте сразу группами по 2-3-4 ноты, в зависимости от того, как они укладываются в мотивы, такты, или слова (если это песенка с текстом)). </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Для иллюстрации приведем два примера разбора простейшей песенки.</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Перед нами ученик, который знает клавиатуру и в известных пределах, нотный стан. Он уже приобрёл элементарные навыки звукоизвлечения. Представим, что этот ученик разбирает сам, без помощи педагога, маленькую пьеску «Василёк».</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Процесс будет выглядеть, примерно, так: «Опознавание ноты, поиск клавиши и, наконец, извлечение звука». Этот цикл будет повторяться на каждой ноте (пусть даже если они одинаковые) вне методической связи, вне ритмических пульсаций. При таком разборе ученик обычно теряет терпение и интерес к пьесе, чем добьется связного и непрерывного исполнения. Кроме того, к концу разбора он приобретает такие «навыки» — звукоизвлечения и игровых движений, на исправление которых потребуется больше времени, чем на разбор. Совершенно по-иному будет проходить разучивание той же пьесы с помощью педагога. Для ускорения процесса разбора применим способ чтения текста группами нот.</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Педагог: «Назови первые три нотки»</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 xml:space="preserve">Ученик это делает быстро: </w:t>
      </w:r>
      <w:r>
        <w:rPr>
          <w:rFonts w:ascii="Times New Roman" w:hAnsi="Times New Roman" w:cs="Times New Roman"/>
          <w:sz w:val="28"/>
          <w:szCs w:val="28"/>
        </w:rPr>
        <w:t>«Ф</w:t>
      </w:r>
      <w:r w:rsidRPr="00D946E2">
        <w:rPr>
          <w:rFonts w:ascii="Times New Roman" w:hAnsi="Times New Roman" w:cs="Times New Roman"/>
          <w:sz w:val="28"/>
          <w:szCs w:val="28"/>
        </w:rPr>
        <w:t>а, фа, ми</w:t>
      </w:r>
      <w:r>
        <w:rPr>
          <w:rFonts w:ascii="Times New Roman" w:hAnsi="Times New Roman" w:cs="Times New Roman"/>
          <w:sz w:val="28"/>
          <w:szCs w:val="28"/>
        </w:rPr>
        <w:t>»</w:t>
      </w:r>
      <w:r w:rsidRPr="00D946E2">
        <w:rPr>
          <w:rFonts w:ascii="Times New Roman" w:hAnsi="Times New Roman" w:cs="Times New Roman"/>
          <w:sz w:val="28"/>
          <w:szCs w:val="28"/>
        </w:rPr>
        <w:t>.</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Педагог: «Сыграй их».</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Выполняет также без затруднений.</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lastRenderedPageBreak/>
        <w:t>Педагог: «Назови следующие три», «Сыграй их», «Теперь сыграй целиком», «Сыграй и спой», «Теперь сыграй без пения», «Послушай, как звучит. Тебе нравится?».</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 xml:space="preserve">«Не забывай. Что это </w:t>
      </w:r>
      <w:r>
        <w:rPr>
          <w:rFonts w:ascii="Times New Roman" w:hAnsi="Times New Roman" w:cs="Times New Roman"/>
          <w:sz w:val="28"/>
          <w:szCs w:val="28"/>
        </w:rPr>
        <w:t>ц</w:t>
      </w:r>
      <w:r w:rsidRPr="00D946E2">
        <w:rPr>
          <w:rFonts w:ascii="Times New Roman" w:hAnsi="Times New Roman" w:cs="Times New Roman"/>
          <w:sz w:val="28"/>
          <w:szCs w:val="28"/>
        </w:rPr>
        <w:t>веток — красивый, нежный, любимый. Разве с любимыми вещами так обращаются?» «А теперь он какой-то печальный и хмуроватый». «Это же песня. Пусть твои пальцы споют глубоко и красиво».</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«А может быть так лучше?» (Показать)</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«Послушай. Посмотри. Немного приподними руку и мягко, но глубоко опусти кончик пальца. Слушай, как он звучит. Вся красота звука в нём».</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«А теперь нравится? Мне тоже. Запомнил? Знаешь, как играть дома?»</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«Можно дома играть разными пальцами, разными руками. Попробуй от других нот. А в следующий раз скажешь, от к</w:t>
      </w:r>
      <w:r>
        <w:rPr>
          <w:rFonts w:ascii="Times New Roman" w:hAnsi="Times New Roman" w:cs="Times New Roman"/>
          <w:sz w:val="28"/>
          <w:szCs w:val="28"/>
        </w:rPr>
        <w:t>аких нот тебе больше понравится</w:t>
      </w:r>
      <w:r w:rsidRPr="00D946E2">
        <w:rPr>
          <w:rFonts w:ascii="Times New Roman" w:hAnsi="Times New Roman" w:cs="Times New Roman"/>
          <w:sz w:val="28"/>
          <w:szCs w:val="28"/>
        </w:rPr>
        <w:t xml:space="preserve"> как звучит песня».</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Сравнивая эти два примера разучивания простой пьесы, мы убедимся, что в первом случае (самостоятельный разбор) в разучивании не было осмы</w:t>
      </w:r>
      <w:r>
        <w:rPr>
          <w:rFonts w:ascii="Times New Roman" w:hAnsi="Times New Roman" w:cs="Times New Roman"/>
          <w:sz w:val="28"/>
          <w:szCs w:val="28"/>
        </w:rPr>
        <w:t>сленности, концентрация внимания и слуховое восприятие</w:t>
      </w:r>
      <w:r w:rsidRPr="00D946E2">
        <w:rPr>
          <w:rFonts w:ascii="Times New Roman" w:hAnsi="Times New Roman" w:cs="Times New Roman"/>
          <w:sz w:val="28"/>
          <w:szCs w:val="28"/>
        </w:rPr>
        <w:t xml:space="preserve"> были раздробленными, связная музыкальная фраза — неясной, движения рук — разрозненными. Во втором случае (с помощью педагога) в разборе появилось больше смысла. Концентрация внимания стала длительной, повысился слуховой контроль, и ученик быстро добился исполнением связной фразы. Целостность исполнения, в свою очередь, определила связный и плавный процесс игровых движений. А главное, помогая ученику охватить пьесу, мы сократили время на так называемую «чёрновую» работу и получили возможность направить внимание на художественно-музыкальные задачи. При этом в самом разборе сформировались контуры музыкальной фразировки и игровых движений. В результате у ученика повысился интерес к самому процессу разучивания (а не только к результату).</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Разучивая пьесу, следует с первых шагов позаботиться чтобы ученик воспринимал нотный текст (а значит и воспроизводил на инструменте) сразу группами по 2-3-4 ноты, в зависимости от того, как они укладываются в мотивы, такты или слова (если это песня с текстом).</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 xml:space="preserve">На этом же уроке, применяя метод групповой читки, можно разучить ещё 2 или 3 песни: «Дождик», «Петушок», «Журавль». В домашнее задание, наряду с закреплением пройденного материала, можно включить разбор новой пьесы такой же трудности. По существу, разбор группами начинается задолго до того, как ученик разучит ноты. Вспомним, что с первых встреч с учеником мы занимаемся с ним разучиванием простых песенок, пользуясь способом «показа с рук» или подбирания по слуху. Приходило ли к кому-нибудь в голову, при этом дробить мотив песни на отдельные звуки? </w:t>
      </w:r>
      <w:r w:rsidRPr="00D946E2">
        <w:rPr>
          <w:rFonts w:ascii="Times New Roman" w:hAnsi="Times New Roman" w:cs="Times New Roman"/>
          <w:sz w:val="28"/>
          <w:szCs w:val="28"/>
        </w:rPr>
        <w:lastRenderedPageBreak/>
        <w:t>Никогда! Обычно мы показываем такие песенки целиком или частично (мотивами, фразами) в зависимости от величины самой песни и от восприимчивости ученика. Почему же, переходя к разбору по нотам, мы зачастую разрушаем этот правильный подход к музыке и превращаем процесс разучивания красивой мелодии в бессмысленное и медленное складывание отдельных звуков? Всё же, чем больше и раньше принцип разбора по нотам будет приближен к разбору на слух или показу с рук, тем лучше т.к. тогда в процессе разбора будет меньше промежуточных звеньев, а конечный результат-  звучащая музыка, будет достигнут легко и возникнет интерес и желание играть и разбирать новые пьесы.</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Однако это только одна сторона работы — внести смысл в процесс разучивания, сократить время и повысить интерес. Параллельно следует развивать навыки непрерывного чтения нот (а, следовательно, непрерывного внимания). Решая эту задачу, необходимо преодолеть инертность и скачкообразность мышления, свойственные ребёнку, надо добиться длинной концентрации внимания и плавной непрерывности мышления, идущего несколько впереди движений рук, тем самым, обеспечивая ценность игрового процесса.  Для этой цели уже в начальном периоде (как только ученик усвоил ноты и простейшие ритмические рисунки) рекомендуется систематически играть лёгкие пьесы в 4 руки с педагогом. Здесь очень важен умелый подбор материала. На первых порах партия ученика должна быть предельно простой (как мелодически, так и ритмически) и располагаться в удобной позиции. Хорошо, если партия педагога представляет ровную пульсацию. (Кабалевский «Про Петю»).</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Переходить к более трудным пьесам следует не раньше, чем будет основательно закреплён предыдущий уровень трудности. Усложнение задач должно быть постепенным и почти незаметным для ученика. В начальном периоде для чтения с листа в четыре руки можно пользоваться такими пособиями, как «Первые шаги» Майкапара, а также пьесами из многих сборников для начального обучения, в которых достаточно широко представлен ансамблевый материал. В дальнейшем в репертуар по чтению вводятся двухручные пьесы. В начале процесс читки протекает медленно и напряжённо вследствие того, что внимание ученика перегружено (увидеть ноту, узнать её и найти её на клавиатуре), а слух пассивен (воспринимает звук только после её извлечения). В дальнейшем зрительное восприятие ассоциируется с звуковысотным (ученик, видя ноту, начинает «слышать» её раньше, чем извлечёт звук), а нотный знак ассоциируется с соответствующей клавишей. В результате весь процесс проходит значительно быстрее и вскоре укладывается в одно единство.</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lastRenderedPageBreak/>
        <w:t>Работа по чтению с листа не ограничивается начальным периодом обучения. Например, игра в четыре руки (с педагогом) должна продолжаться в течение всего времени обучения, постепенно охватывая богатый и интересный материал оркестровых, оперных и других произведений, переложенных для четырёхручного исполнения. Помимо совершенствования навыков чтения нот, эта работа будет развивать способность охвата произведения в целом, а также — что очень важно — расширять музыкальный кругозор ученика.</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 xml:space="preserve">Рассмотренные два направления работы — разбор группами и непрерывное чтение — со временем дополняют друг друга: в разбор группами вносятся навыки последовательного чтения, благодаря чему ликвидируются неизбежные остановки между группами: в непрерывную читку вносятся элементы комплексного восприятия текста, а ученик начинает видеть и слышать вперед не только одну ноту, а целую группу (мотив и фразу). Назовем это «групповым представлением». Приобретение навыков комплексного восприятия текста и тренировка в непрерывной читке нот должны проходить параллельно и систематически, начиная с первых шагов обучения. Для сочетания группового представления и непрерывной читки в едином процессе рекомендуется вначале использовать пьесы (или этюды) построенные на разложенных аккордах (Шитте Этюд№50, №51). Работу над этими этюдами можно разделить на два этапа. Сначала (после предварительного ознакомления) сыграть аккордами поочередно каждой рукой, затем двумя руками одновременно. Навыки группового разбора помогут выполнить это задание. Играть аккорды следует медленно, но без перерывов (не снижать руки раньше времени на этом этапе представление каждой следующей группы аккорда) формируется во время выдерживания аккордов. Затем начинаем следующий этап работы: играть этюд восьмыми, как написано в нотах. Теперь представление групп, уже знакомых по первому этапу разучивания будет складываться в процессе непрерывного движения. Здесь сыграют роль навыки непрерывности чтения.     </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 xml:space="preserve">Таким образом достигается плавный процесс мышления, идущего впереди движений и закладываются основы координации (поочередного распределения внимания между руками). В дальнейшем нет необходимости делить работу на два этапа. Например, при разучивании украинской народной песни «Ой, дивчино» навыки группового представления позволят ученику охватывать сразу по три ноты. Навыки непрерывного чтения помогут подготовить каждый следующий такт в процессе непрерывного движения. Тем самым в короткий промежуток времени будет достигнут связный процесс исполнения- главное условие для успешной работы над </w:t>
      </w:r>
      <w:r w:rsidRPr="00D946E2">
        <w:rPr>
          <w:rFonts w:ascii="Times New Roman" w:hAnsi="Times New Roman" w:cs="Times New Roman"/>
          <w:sz w:val="28"/>
          <w:szCs w:val="28"/>
        </w:rPr>
        <w:lastRenderedPageBreak/>
        <w:t>звуковой выразительностью пьесы.  Вместе с тем в процессе дальнейшего обучения ещё раз придётся обращаться к помощи «первого этапа», т.е. к собиранию нот в аккорды. Аккордовое мышление помогает усвоению гармонической структуры, облегчает разучивание сложных построений, кроме того, собирание нот в аккорды способствует установлению правильного соотношения звучности между главными и сопровождающими элементами музыки, а также достижению целостности музыкальной фразировки.</w:t>
      </w:r>
    </w:p>
    <w:p w:rsidR="00D701F2" w:rsidRPr="00D946E2" w:rsidRDefault="00D701F2" w:rsidP="00D10B0D">
      <w:pPr>
        <w:spacing w:after="0"/>
        <w:ind w:firstLine="709"/>
        <w:jc w:val="both"/>
        <w:rPr>
          <w:rFonts w:ascii="Times New Roman" w:hAnsi="Times New Roman" w:cs="Times New Roman"/>
          <w:sz w:val="28"/>
          <w:szCs w:val="28"/>
        </w:rPr>
      </w:pPr>
      <w:r w:rsidRPr="00D946E2">
        <w:rPr>
          <w:rFonts w:ascii="Times New Roman" w:hAnsi="Times New Roman" w:cs="Times New Roman"/>
          <w:sz w:val="28"/>
          <w:szCs w:val="28"/>
        </w:rPr>
        <w:t>Переходя к разучиванию пьес двумя руками одновременно, рекомендуется вначале выбирать материал, в котором партия одной из рук предельно проста. Например, «А на горку шла» (р. н. п.). Затем следует брать пьесы, структура которых обеспечивает поочерёдное распределение внимания на обе руки: К. Черни «Этюд». Простота в повторяемости мелодии, а также ясное сопровождение позволят ученику после краткого ознакомления с партией каждой руки довольно легко соединить их вместе. Начиная с этих примеров, групповое представление, не ограничиваясь горизонтальным направлением, начинает охватывать и вертикальное строение музыки.</w:t>
      </w:r>
    </w:p>
    <w:p w:rsidR="00D701F2" w:rsidRPr="00D946E2" w:rsidRDefault="00D701F2" w:rsidP="00D10B0D">
      <w:pPr>
        <w:ind w:firstLine="709"/>
        <w:jc w:val="both"/>
        <w:rPr>
          <w:rFonts w:ascii="Times New Roman" w:hAnsi="Times New Roman" w:cs="Times New Roman"/>
          <w:sz w:val="28"/>
          <w:szCs w:val="28"/>
        </w:rPr>
      </w:pPr>
      <w:r w:rsidRPr="00D946E2">
        <w:rPr>
          <w:rFonts w:ascii="Times New Roman" w:hAnsi="Times New Roman" w:cs="Times New Roman"/>
          <w:sz w:val="28"/>
          <w:szCs w:val="28"/>
        </w:rPr>
        <w:t>Развивая у ученика «групповое восприятие» текста, нельзя забывать, что группы формируются не произвольно, а в соответствии с методической и гармонической структурой музыки. Точно так же, добиваясь в короткий срок непрерывного и связного исполнения, мы должны помнить, что это не механическое сложение звуков, а органическое слияние их в мотивы, фразы, отдельные звенья и т.д., сопровождаемое живым пульсом и дыханием. Поэтому, начиная с элементарных заданий на разбор группами и непрерывное чтение простых пьесах и последовательно совершенствуя навыки быстрого и осмысленного   разучивания, мы одновременно развиваем ученика музыкально. Это выражается в росте способности слышать исполняемую музыку во всем ее многообразии, координировать сочетание всех составляющих ее элементов, открывая путь к яркой музыкальной выразительности.</w:t>
      </w:r>
    </w:p>
    <w:p w:rsidR="00D701F2" w:rsidRPr="00D946E2" w:rsidRDefault="00D701F2" w:rsidP="00D701F2">
      <w:pPr>
        <w:tabs>
          <w:tab w:val="left" w:pos="2595"/>
        </w:tabs>
        <w:ind w:firstLine="709"/>
        <w:rPr>
          <w:rFonts w:ascii="Times New Roman" w:hAnsi="Times New Roman" w:cs="Times New Roman"/>
          <w:sz w:val="28"/>
          <w:szCs w:val="28"/>
        </w:rPr>
      </w:pPr>
    </w:p>
    <w:p w:rsidR="00D701F2" w:rsidRPr="00D946E2" w:rsidRDefault="00D701F2" w:rsidP="00D701F2">
      <w:pPr>
        <w:tabs>
          <w:tab w:val="left" w:pos="2595"/>
        </w:tabs>
        <w:ind w:firstLine="709"/>
        <w:rPr>
          <w:rFonts w:ascii="Times New Roman" w:hAnsi="Times New Roman" w:cs="Times New Roman"/>
          <w:sz w:val="28"/>
          <w:szCs w:val="28"/>
        </w:rPr>
      </w:pPr>
    </w:p>
    <w:p w:rsidR="00D701F2" w:rsidRPr="00D946E2" w:rsidRDefault="00D701F2" w:rsidP="00D701F2">
      <w:pPr>
        <w:tabs>
          <w:tab w:val="left" w:pos="2595"/>
        </w:tabs>
        <w:ind w:firstLine="709"/>
        <w:rPr>
          <w:rFonts w:ascii="Times New Roman" w:hAnsi="Times New Roman" w:cs="Times New Roman"/>
          <w:sz w:val="28"/>
          <w:szCs w:val="28"/>
        </w:rPr>
      </w:pPr>
    </w:p>
    <w:p w:rsidR="00D701F2" w:rsidRDefault="00D701F2" w:rsidP="00D701F2">
      <w:pPr>
        <w:tabs>
          <w:tab w:val="left" w:pos="2595"/>
        </w:tabs>
      </w:pPr>
    </w:p>
    <w:p w:rsidR="00D701F2" w:rsidRDefault="00D701F2" w:rsidP="00D701F2">
      <w:pPr>
        <w:tabs>
          <w:tab w:val="left" w:pos="2595"/>
        </w:tabs>
        <w:jc w:val="center"/>
        <w:rPr>
          <w:b/>
          <w:bCs/>
          <w:sz w:val="28"/>
          <w:szCs w:val="28"/>
        </w:rPr>
      </w:pPr>
    </w:p>
    <w:p w:rsidR="00D701F2" w:rsidRDefault="00D701F2" w:rsidP="00D701F2">
      <w:pPr>
        <w:tabs>
          <w:tab w:val="left" w:pos="2595"/>
        </w:tabs>
        <w:jc w:val="center"/>
        <w:rPr>
          <w:b/>
          <w:bCs/>
          <w:sz w:val="28"/>
          <w:szCs w:val="28"/>
        </w:rPr>
      </w:pPr>
    </w:p>
    <w:p w:rsidR="00D701F2" w:rsidRPr="0011661B" w:rsidRDefault="00D701F2" w:rsidP="00D701F2">
      <w:pPr>
        <w:tabs>
          <w:tab w:val="left" w:pos="2595"/>
        </w:tabs>
        <w:jc w:val="center"/>
        <w:rPr>
          <w:rFonts w:cs="Times New Roman"/>
          <w:b/>
          <w:bCs/>
          <w:sz w:val="28"/>
          <w:szCs w:val="28"/>
        </w:rPr>
      </w:pPr>
      <w:r>
        <w:rPr>
          <w:b/>
          <w:bCs/>
          <w:sz w:val="28"/>
          <w:szCs w:val="28"/>
        </w:rPr>
        <w:lastRenderedPageBreak/>
        <w:t>Литература</w:t>
      </w:r>
      <w:r w:rsidRPr="0011661B">
        <w:rPr>
          <w:b/>
          <w:bCs/>
          <w:sz w:val="28"/>
          <w:szCs w:val="28"/>
        </w:rPr>
        <w:t>:</w:t>
      </w:r>
    </w:p>
    <w:p w:rsidR="00D701F2" w:rsidRPr="00D701F2" w:rsidRDefault="00D701F2" w:rsidP="00D10B0D">
      <w:pPr>
        <w:numPr>
          <w:ilvl w:val="0"/>
          <w:numId w:val="1"/>
        </w:numPr>
        <w:tabs>
          <w:tab w:val="left" w:pos="2595"/>
        </w:tabs>
        <w:spacing w:after="0" w:line="240" w:lineRule="auto"/>
        <w:jc w:val="both"/>
        <w:rPr>
          <w:rFonts w:ascii="Times New Roman" w:hAnsi="Times New Roman" w:cs="Times New Roman"/>
          <w:sz w:val="28"/>
          <w:szCs w:val="28"/>
        </w:rPr>
      </w:pPr>
      <w:r w:rsidRPr="00D701F2">
        <w:rPr>
          <w:rFonts w:ascii="Times New Roman" w:hAnsi="Times New Roman" w:cs="Times New Roman"/>
          <w:sz w:val="28"/>
          <w:szCs w:val="28"/>
        </w:rPr>
        <w:t>«Музыкальная хрестоматия» (составитель – Н. А. Бергер), Санкт-Петербург, 1997</w:t>
      </w:r>
    </w:p>
    <w:p w:rsidR="00D701F2" w:rsidRPr="00D701F2" w:rsidRDefault="00D701F2" w:rsidP="00D10B0D">
      <w:pPr>
        <w:numPr>
          <w:ilvl w:val="0"/>
          <w:numId w:val="1"/>
        </w:numPr>
        <w:tabs>
          <w:tab w:val="left" w:pos="2595"/>
        </w:tabs>
        <w:spacing w:after="0" w:line="240" w:lineRule="auto"/>
        <w:jc w:val="both"/>
        <w:rPr>
          <w:rFonts w:ascii="Times New Roman" w:hAnsi="Times New Roman" w:cs="Times New Roman"/>
          <w:sz w:val="28"/>
          <w:szCs w:val="28"/>
        </w:rPr>
      </w:pPr>
      <w:r w:rsidRPr="00D701F2">
        <w:rPr>
          <w:rFonts w:ascii="Times New Roman" w:hAnsi="Times New Roman" w:cs="Times New Roman"/>
          <w:sz w:val="28"/>
          <w:szCs w:val="28"/>
        </w:rPr>
        <w:t>«Праздник каждый день» (И. Каплунова, И. Новоскульцева), «Композитор», Санкт-Петербург, 2003</w:t>
      </w:r>
    </w:p>
    <w:p w:rsidR="00D701F2" w:rsidRPr="00D701F2" w:rsidRDefault="00D701F2" w:rsidP="00D10B0D">
      <w:pPr>
        <w:numPr>
          <w:ilvl w:val="0"/>
          <w:numId w:val="1"/>
        </w:numPr>
        <w:tabs>
          <w:tab w:val="left" w:pos="2595"/>
        </w:tabs>
        <w:spacing w:after="0" w:line="240" w:lineRule="auto"/>
        <w:jc w:val="both"/>
        <w:rPr>
          <w:rFonts w:ascii="Times New Roman" w:hAnsi="Times New Roman" w:cs="Times New Roman"/>
          <w:sz w:val="28"/>
          <w:szCs w:val="28"/>
        </w:rPr>
      </w:pPr>
      <w:r w:rsidRPr="00D701F2">
        <w:rPr>
          <w:rFonts w:ascii="Times New Roman" w:hAnsi="Times New Roman" w:cs="Times New Roman"/>
          <w:sz w:val="28"/>
          <w:szCs w:val="28"/>
        </w:rPr>
        <w:t>Первые шаги маленького пиа</w:t>
      </w:r>
      <w:r>
        <w:rPr>
          <w:rFonts w:ascii="Times New Roman" w:hAnsi="Times New Roman" w:cs="Times New Roman"/>
          <w:sz w:val="28"/>
          <w:szCs w:val="28"/>
        </w:rPr>
        <w:t>ниста (редакция Г. Баранова, А.</w:t>
      </w:r>
      <w:r w:rsidRPr="00D701F2">
        <w:rPr>
          <w:rFonts w:ascii="Times New Roman" w:hAnsi="Times New Roman" w:cs="Times New Roman"/>
          <w:sz w:val="28"/>
          <w:szCs w:val="28"/>
        </w:rPr>
        <w:t>Четверухина), Москва  «Музыка»</w:t>
      </w:r>
      <w:r>
        <w:rPr>
          <w:rFonts w:ascii="Times New Roman" w:hAnsi="Times New Roman" w:cs="Times New Roman"/>
          <w:sz w:val="28"/>
          <w:szCs w:val="28"/>
        </w:rPr>
        <w:t>,</w:t>
      </w:r>
      <w:r w:rsidRPr="00D701F2">
        <w:rPr>
          <w:rFonts w:ascii="Times New Roman" w:hAnsi="Times New Roman" w:cs="Times New Roman"/>
          <w:sz w:val="28"/>
          <w:szCs w:val="28"/>
        </w:rPr>
        <w:t xml:space="preserve"> 1985</w:t>
      </w:r>
    </w:p>
    <w:p w:rsidR="00D701F2" w:rsidRPr="00D701F2" w:rsidRDefault="00D701F2" w:rsidP="00D10B0D">
      <w:pPr>
        <w:numPr>
          <w:ilvl w:val="0"/>
          <w:numId w:val="1"/>
        </w:numPr>
        <w:tabs>
          <w:tab w:val="left" w:pos="360"/>
          <w:tab w:val="left" w:pos="2880"/>
          <w:tab w:val="left" w:pos="3060"/>
        </w:tabs>
        <w:spacing w:after="0" w:line="240" w:lineRule="auto"/>
        <w:jc w:val="both"/>
        <w:rPr>
          <w:rFonts w:ascii="Times New Roman" w:hAnsi="Times New Roman" w:cs="Times New Roman"/>
          <w:sz w:val="28"/>
          <w:szCs w:val="28"/>
        </w:rPr>
      </w:pPr>
      <w:r w:rsidRPr="00D701F2">
        <w:rPr>
          <w:rFonts w:ascii="Times New Roman" w:hAnsi="Times New Roman" w:cs="Times New Roman"/>
          <w:sz w:val="28"/>
          <w:szCs w:val="28"/>
        </w:rPr>
        <w:t>Гольденвей</w:t>
      </w:r>
      <w:r w:rsidR="00D10B0D">
        <w:rPr>
          <w:rFonts w:ascii="Times New Roman" w:hAnsi="Times New Roman" w:cs="Times New Roman"/>
          <w:sz w:val="28"/>
          <w:szCs w:val="28"/>
        </w:rPr>
        <w:t>зер А.Б. «О музыкальном исполни</w:t>
      </w:r>
      <w:r w:rsidRPr="00D701F2">
        <w:rPr>
          <w:rFonts w:ascii="Times New Roman" w:hAnsi="Times New Roman" w:cs="Times New Roman"/>
          <w:sz w:val="28"/>
          <w:szCs w:val="28"/>
        </w:rPr>
        <w:t>тельстве»</w:t>
      </w:r>
      <w:r>
        <w:rPr>
          <w:rFonts w:ascii="Times New Roman" w:hAnsi="Times New Roman" w:cs="Times New Roman"/>
          <w:sz w:val="28"/>
          <w:szCs w:val="28"/>
        </w:rPr>
        <w:t>, 1975</w:t>
      </w:r>
    </w:p>
    <w:p w:rsidR="00D701F2" w:rsidRPr="00D701F2" w:rsidRDefault="00D701F2" w:rsidP="00D10B0D">
      <w:pPr>
        <w:numPr>
          <w:ilvl w:val="0"/>
          <w:numId w:val="1"/>
        </w:numPr>
        <w:tabs>
          <w:tab w:val="left" w:pos="360"/>
          <w:tab w:val="left" w:pos="2880"/>
          <w:tab w:val="left" w:pos="3060"/>
        </w:tabs>
        <w:spacing w:after="0" w:line="240" w:lineRule="auto"/>
        <w:jc w:val="both"/>
        <w:rPr>
          <w:rFonts w:ascii="Times New Roman" w:hAnsi="Times New Roman" w:cs="Times New Roman"/>
          <w:sz w:val="28"/>
          <w:szCs w:val="28"/>
        </w:rPr>
      </w:pPr>
      <w:r w:rsidRPr="00D701F2">
        <w:rPr>
          <w:rFonts w:ascii="Times New Roman" w:hAnsi="Times New Roman" w:cs="Times New Roman"/>
          <w:sz w:val="28"/>
          <w:szCs w:val="28"/>
        </w:rPr>
        <w:t>Тимакин Е.Н. «Воспитание пианиста» методическое пособие» 1989г</w:t>
      </w:r>
    </w:p>
    <w:p w:rsidR="00D701F2" w:rsidRPr="00D701F2" w:rsidRDefault="00D701F2" w:rsidP="00D10B0D">
      <w:pPr>
        <w:tabs>
          <w:tab w:val="left" w:pos="360"/>
          <w:tab w:val="left" w:pos="2880"/>
          <w:tab w:val="left" w:pos="3060"/>
        </w:tabs>
        <w:spacing w:after="0"/>
        <w:jc w:val="both"/>
        <w:rPr>
          <w:rFonts w:ascii="Times New Roman" w:hAnsi="Times New Roman" w:cs="Times New Roman"/>
          <w:sz w:val="28"/>
          <w:szCs w:val="28"/>
        </w:rPr>
      </w:pPr>
      <w:r>
        <w:rPr>
          <w:rFonts w:ascii="Times New Roman" w:hAnsi="Times New Roman" w:cs="Times New Roman"/>
          <w:sz w:val="28"/>
          <w:szCs w:val="28"/>
        </w:rPr>
        <w:t xml:space="preserve"> 6</w:t>
      </w:r>
      <w:r w:rsidRPr="00D701F2">
        <w:rPr>
          <w:rFonts w:ascii="Times New Roman" w:hAnsi="Times New Roman" w:cs="Times New Roman"/>
          <w:sz w:val="28"/>
          <w:szCs w:val="28"/>
        </w:rPr>
        <w:t>.  Первые шаги маленького пианиста (редакция Г. Баранова, А. Четверухина), Москва «Музыка»</w:t>
      </w:r>
      <w:r w:rsidR="00F278F3">
        <w:rPr>
          <w:rFonts w:ascii="Times New Roman" w:hAnsi="Times New Roman" w:cs="Times New Roman"/>
          <w:sz w:val="28"/>
          <w:szCs w:val="28"/>
        </w:rPr>
        <w:t>,</w:t>
      </w:r>
      <w:r w:rsidRPr="00D701F2">
        <w:rPr>
          <w:rFonts w:ascii="Times New Roman" w:hAnsi="Times New Roman" w:cs="Times New Roman"/>
          <w:sz w:val="28"/>
          <w:szCs w:val="28"/>
        </w:rPr>
        <w:t xml:space="preserve"> 1985 </w:t>
      </w:r>
    </w:p>
    <w:p w:rsidR="00D701F2" w:rsidRPr="00D701F2" w:rsidRDefault="00F278F3" w:rsidP="00D10B0D">
      <w:pPr>
        <w:tabs>
          <w:tab w:val="left" w:pos="360"/>
          <w:tab w:val="left" w:pos="2880"/>
          <w:tab w:val="left" w:pos="3060"/>
        </w:tabs>
        <w:jc w:val="both"/>
        <w:rPr>
          <w:rFonts w:ascii="Times New Roman" w:hAnsi="Times New Roman" w:cs="Times New Roman"/>
          <w:sz w:val="28"/>
          <w:szCs w:val="28"/>
        </w:rPr>
      </w:pPr>
      <w:r>
        <w:rPr>
          <w:rFonts w:ascii="Times New Roman" w:hAnsi="Times New Roman" w:cs="Times New Roman"/>
          <w:sz w:val="28"/>
          <w:szCs w:val="28"/>
        </w:rPr>
        <w:t xml:space="preserve"> 7</w:t>
      </w:r>
      <w:r w:rsidR="00D701F2" w:rsidRPr="00D701F2">
        <w:rPr>
          <w:rFonts w:ascii="Times New Roman" w:hAnsi="Times New Roman" w:cs="Times New Roman"/>
          <w:sz w:val="28"/>
          <w:szCs w:val="28"/>
        </w:rPr>
        <w:t>. Фортепианная игра 1-2 классы ДМШ (редакция А.Николаева), Москва (редакция Н.  Кувшинникова) Москва. «Музыка»</w:t>
      </w:r>
      <w:r>
        <w:rPr>
          <w:rFonts w:ascii="Times New Roman" w:hAnsi="Times New Roman" w:cs="Times New Roman"/>
          <w:sz w:val="28"/>
          <w:szCs w:val="28"/>
        </w:rPr>
        <w:t xml:space="preserve">, </w:t>
      </w:r>
      <w:bookmarkStart w:id="0" w:name="_GoBack"/>
      <w:bookmarkEnd w:id="0"/>
      <w:r w:rsidR="00D701F2" w:rsidRPr="00D701F2">
        <w:rPr>
          <w:rFonts w:ascii="Times New Roman" w:hAnsi="Times New Roman" w:cs="Times New Roman"/>
          <w:sz w:val="28"/>
          <w:szCs w:val="28"/>
        </w:rPr>
        <w:t>1966</w:t>
      </w:r>
    </w:p>
    <w:p w:rsidR="00D701F2" w:rsidRDefault="00D701F2"/>
    <w:sectPr w:rsidR="00D701F2" w:rsidSect="00D701F2">
      <w:pgSz w:w="11906" w:h="16838"/>
      <w:pgMar w:top="1134" w:right="850" w:bottom="1134" w:left="1701" w:header="708" w:footer="708" w:gutter="0"/>
      <w:pgBorders w:offsetFrom="page">
        <w:top w:val="musicNotes" w:sz="16" w:space="24" w:color="auto"/>
        <w:left w:val="musicNotes" w:sz="16" w:space="24" w:color="auto"/>
        <w:bottom w:val="musicNotes" w:sz="16" w:space="24" w:color="auto"/>
        <w:right w:val="musicNotes"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F650E2"/>
    <w:multiLevelType w:val="hybridMultilevel"/>
    <w:tmpl w:val="395CFECE"/>
    <w:lvl w:ilvl="0" w:tplc="B9048058">
      <w:start w:val="1"/>
      <w:numFmt w:val="decimal"/>
      <w:lvlText w:val="%1."/>
      <w:lvlJc w:val="left"/>
      <w:pPr>
        <w:tabs>
          <w:tab w:val="num" w:pos="420"/>
        </w:tabs>
        <w:ind w:left="420" w:hanging="360"/>
      </w:pPr>
      <w:rPr>
        <w:rFonts w:hint="default"/>
      </w:r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D701F2"/>
    <w:rsid w:val="003524B5"/>
    <w:rsid w:val="003D2E47"/>
    <w:rsid w:val="005730FC"/>
    <w:rsid w:val="00630B30"/>
    <w:rsid w:val="00916B74"/>
    <w:rsid w:val="00AD318B"/>
    <w:rsid w:val="00D10B0D"/>
    <w:rsid w:val="00D701F2"/>
    <w:rsid w:val="00F278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1F2"/>
    <w:pPr>
      <w:spacing w:after="200" w:line="276" w:lineRule="auto"/>
    </w:pPr>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A39AA-B7DC-40FC-9349-15C1992A8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2204</Words>
  <Characters>12567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2026-02-09T11:42:00Z</dcterms:created>
  <dcterms:modified xsi:type="dcterms:W3CDTF">2026-03-01T10:18:00Z</dcterms:modified>
</cp:coreProperties>
</file>